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97" w:rsidRPr="00272BB8" w:rsidRDefault="00272BB8" w:rsidP="001D0D97">
      <w:pPr>
        <w:pStyle w:val="Title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272BB8">
        <w:rPr>
          <w:rFonts w:asciiTheme="minorHAnsi" w:hAnsiTheme="minorHAnsi"/>
          <w:noProof/>
        </w:rPr>
        <w:drawing>
          <wp:anchor distT="0" distB="0" distL="114300" distR="114300" simplePos="0" relativeHeight="251658752" behindDoc="0" locked="0" layoutInCell="1" allowOverlap="1" wp14:anchorId="0F9C4B27" wp14:editId="79FBD043">
            <wp:simplePos x="0" y="0"/>
            <wp:positionH relativeFrom="column">
              <wp:posOffset>5267325</wp:posOffset>
            </wp:positionH>
            <wp:positionV relativeFrom="paragraph">
              <wp:posOffset>-119380</wp:posOffset>
            </wp:positionV>
            <wp:extent cx="409575" cy="371475"/>
            <wp:effectExtent l="0" t="0" r="9525" b="952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97" w:rsidRPr="00272BB8">
        <w:rPr>
          <w:rFonts w:asciiTheme="minorHAnsi" w:hAnsiTheme="minorHAnsi"/>
          <w:sz w:val="28"/>
          <w:szCs w:val="28"/>
        </w:rPr>
        <w:t>“Student-Friendly” Standards</w:t>
      </w:r>
      <w:r w:rsidR="00156327" w:rsidRPr="00272BB8">
        <w:rPr>
          <w:rFonts w:asciiTheme="minorHAnsi" w:hAnsiTheme="minorHAnsi"/>
          <w:sz w:val="28"/>
          <w:szCs w:val="28"/>
        </w:rPr>
        <w:t xml:space="preserve"> for </w:t>
      </w:r>
      <w:r w:rsidR="00EB0B76" w:rsidRPr="00272BB8">
        <w:rPr>
          <w:rFonts w:asciiTheme="minorHAnsi" w:hAnsiTheme="minorHAnsi"/>
          <w:sz w:val="28"/>
          <w:szCs w:val="28"/>
        </w:rPr>
        <w:t>Math 6</w:t>
      </w:r>
    </w:p>
    <w:p w:rsidR="001D0D97" w:rsidRPr="00272BB8" w:rsidRDefault="001D0D97" w:rsidP="004F44FD">
      <w:pPr>
        <w:pStyle w:val="Title"/>
        <w:ind w:left="1800" w:hanging="1800"/>
        <w:rPr>
          <w:rFonts w:asciiTheme="minorHAnsi" w:hAnsiTheme="minorHAnsi"/>
        </w:rPr>
      </w:pPr>
      <w:r w:rsidRPr="00272BB8">
        <w:rPr>
          <w:rFonts w:asciiTheme="minorHAnsi" w:hAnsiTheme="minorHAnsi"/>
        </w:rPr>
        <w:t xml:space="preserve">Unit </w:t>
      </w:r>
      <w:r w:rsidR="004F44FD" w:rsidRPr="00272BB8">
        <w:rPr>
          <w:rFonts w:asciiTheme="minorHAnsi" w:hAnsiTheme="minorHAnsi"/>
        </w:rPr>
        <w:t>2</w:t>
      </w:r>
      <w:r w:rsidRPr="00272BB8">
        <w:rPr>
          <w:rFonts w:asciiTheme="minorHAnsi" w:hAnsiTheme="minorHAnsi"/>
        </w:rPr>
        <w:t xml:space="preserve"> </w:t>
      </w:r>
      <w:r w:rsidR="004F44FD" w:rsidRPr="00272BB8">
        <w:rPr>
          <w:rFonts w:asciiTheme="minorHAnsi" w:hAnsiTheme="minorHAnsi"/>
          <w:sz w:val="36"/>
          <w:szCs w:val="36"/>
        </w:rPr>
        <w:t>Rate, Ratio and Proportional Reasoning Using Equivalent Fractions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306"/>
        <w:gridCol w:w="1328"/>
        <w:gridCol w:w="6564"/>
      </w:tblGrid>
      <w:tr w:rsidR="00156327" w:rsidRPr="00156327" w:rsidTr="003516E9">
        <w:tc>
          <w:tcPr>
            <w:tcW w:w="1306" w:type="dxa"/>
            <w:shd w:val="clear" w:color="auto" w:fill="BFBFBF" w:themeFill="background1" w:themeFillShade="BF"/>
            <w:vAlign w:val="bottom"/>
          </w:tcPr>
          <w:p w:rsidR="00A14A80" w:rsidRPr="00272BB8" w:rsidRDefault="00A14A80" w:rsidP="00A14A8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272BB8">
              <w:rPr>
                <w:rFonts w:asciiTheme="minorHAnsi" w:hAnsiTheme="minorHAnsi" w:cs="Times New Roman"/>
                <w:b/>
              </w:rPr>
              <w:t>Standard</w:t>
            </w:r>
          </w:p>
          <w:p w:rsidR="00156327" w:rsidRPr="00272BB8" w:rsidRDefault="00156327" w:rsidP="00A14A8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272BB8">
              <w:rPr>
                <w:rFonts w:asciiTheme="minorHAnsi" w:hAnsiTheme="minorHAnsi" w:cs="Times New Roman"/>
                <w:b/>
              </w:rPr>
              <w:t>Code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bottom"/>
          </w:tcPr>
          <w:p w:rsidR="00156327" w:rsidRPr="00272BB8" w:rsidRDefault="00A14A80" w:rsidP="00A14A8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272BB8">
              <w:rPr>
                <w:rFonts w:asciiTheme="minorHAnsi" w:hAnsiTheme="minorHAnsi" w:cs="Times New Roman"/>
                <w:b/>
              </w:rPr>
              <w:t>Mastery</w:t>
            </w:r>
          </w:p>
          <w:p w:rsidR="00A14A80" w:rsidRPr="00272BB8" w:rsidRDefault="00A14A80" w:rsidP="00A14A8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272BB8">
              <w:rPr>
                <w:rFonts w:asciiTheme="minorHAnsi" w:hAnsiTheme="minorHAnsi" w:cs="Times New Roman"/>
                <w:b/>
              </w:rPr>
              <w:t>Level</w:t>
            </w:r>
          </w:p>
        </w:tc>
        <w:tc>
          <w:tcPr>
            <w:tcW w:w="6564" w:type="dxa"/>
            <w:shd w:val="clear" w:color="auto" w:fill="BFBFBF" w:themeFill="background1" w:themeFillShade="BF"/>
            <w:vAlign w:val="bottom"/>
          </w:tcPr>
          <w:p w:rsidR="00156327" w:rsidRPr="00272BB8" w:rsidRDefault="00156327" w:rsidP="00A14A8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272BB8">
              <w:rPr>
                <w:rFonts w:asciiTheme="minorHAnsi" w:hAnsiTheme="minorHAnsi" w:cs="Times New Roman"/>
                <w:b/>
              </w:rPr>
              <w:t>Standard</w:t>
            </w:r>
          </w:p>
        </w:tc>
      </w:tr>
      <w:tr w:rsidR="004F44FD" w:rsidRPr="00156327" w:rsidTr="003516E9">
        <w:trPr>
          <w:trHeight w:val="288"/>
        </w:trPr>
        <w:tc>
          <w:tcPr>
            <w:tcW w:w="1306" w:type="dxa"/>
            <w:vMerge w:val="restart"/>
          </w:tcPr>
          <w:p w:rsidR="004F44FD" w:rsidRPr="00272BB8" w:rsidRDefault="004F44FD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72BB8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RP.1 </w:t>
            </w:r>
          </w:p>
        </w:tc>
        <w:tc>
          <w:tcPr>
            <w:tcW w:w="1328" w:type="dxa"/>
          </w:tcPr>
          <w:p w:rsidR="004F44FD" w:rsidRPr="00272BB8" w:rsidRDefault="004F44FD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4F44FD" w:rsidRPr="00272BB8" w:rsidRDefault="004F44FD" w:rsidP="00A14A80">
            <w:pPr>
              <w:spacing w:before="120"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272BB8">
              <w:rPr>
                <w:rFonts w:asciiTheme="minorHAnsi" w:hAnsiTheme="minorHAnsi"/>
                <w:color w:val="000000"/>
              </w:rPr>
              <w:t xml:space="preserve">I can write ratio notation in multiple ways.  (For example, as 2:3, 2 to 3, </w:t>
            </w:r>
            <w:proofErr w:type="gramStart"/>
            <w:r w:rsidRPr="00272BB8">
              <w:rPr>
                <w:rFonts w:asciiTheme="minorHAnsi" w:hAnsiTheme="minorHAnsi"/>
                <w:color w:val="000000"/>
                <w:vertAlign w:val="superscript"/>
              </w:rPr>
              <w:t>2</w:t>
            </w:r>
            <w:proofErr w:type="gramEnd"/>
            <w:r w:rsidRPr="00272BB8">
              <w:rPr>
                <w:rFonts w:asciiTheme="minorHAnsi" w:hAnsiTheme="minorHAnsi"/>
                <w:color w:val="000000"/>
              </w:rPr>
              <w:t>/</w:t>
            </w:r>
            <w:r w:rsidRPr="00272BB8">
              <w:rPr>
                <w:rFonts w:asciiTheme="minorHAnsi" w:hAnsiTheme="minorHAnsi"/>
                <w:color w:val="000000"/>
                <w:vertAlign w:val="subscript"/>
              </w:rPr>
              <w:t>3</w:t>
            </w:r>
            <w:r w:rsidRPr="00272BB8">
              <w:rPr>
                <w:rFonts w:asciiTheme="minorHAnsi" w:hAnsiTheme="minorHAnsi"/>
                <w:color w:val="000000"/>
              </w:rPr>
              <w:t>.)</w:t>
            </w:r>
          </w:p>
        </w:tc>
      </w:tr>
      <w:tr w:rsidR="004F44FD" w:rsidRPr="00156327" w:rsidTr="003516E9">
        <w:trPr>
          <w:trHeight w:val="288"/>
        </w:trPr>
        <w:tc>
          <w:tcPr>
            <w:tcW w:w="1306" w:type="dxa"/>
            <w:vMerge/>
          </w:tcPr>
          <w:p w:rsidR="004F44FD" w:rsidRPr="00272BB8" w:rsidRDefault="004F44FD" w:rsidP="00A14A80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4F44FD" w:rsidRPr="00272BB8" w:rsidRDefault="004F44FD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4F44FD" w:rsidRPr="00272BB8" w:rsidRDefault="004F44FD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explain how order matters when writing a ratio.</w:t>
            </w:r>
          </w:p>
        </w:tc>
      </w:tr>
      <w:tr w:rsidR="004F44FD" w:rsidRPr="00156327" w:rsidTr="003516E9">
        <w:trPr>
          <w:trHeight w:val="288"/>
        </w:trPr>
        <w:tc>
          <w:tcPr>
            <w:tcW w:w="1306" w:type="dxa"/>
            <w:vMerge/>
          </w:tcPr>
          <w:p w:rsidR="004F44FD" w:rsidRPr="00272BB8" w:rsidRDefault="004F44FD" w:rsidP="00A14A80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4F44FD" w:rsidRPr="00272BB8" w:rsidRDefault="004F44FD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4F44FD" w:rsidRPr="00272BB8" w:rsidRDefault="004F44FD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demonstrate how ratios can be simplified.</w:t>
            </w:r>
          </w:p>
        </w:tc>
      </w:tr>
      <w:tr w:rsidR="004F44FD" w:rsidRPr="00156327" w:rsidTr="003516E9">
        <w:trPr>
          <w:trHeight w:val="288"/>
        </w:trPr>
        <w:tc>
          <w:tcPr>
            <w:tcW w:w="1306" w:type="dxa"/>
            <w:vMerge/>
          </w:tcPr>
          <w:p w:rsidR="004F44FD" w:rsidRPr="00272BB8" w:rsidRDefault="004F44FD" w:rsidP="00A14A80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4F44FD" w:rsidRPr="00272BB8" w:rsidRDefault="004F44FD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4F44FD" w:rsidRPr="00272BB8" w:rsidRDefault="004F44FD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demonstrate how ratios compare two quantities; the quantities do not have to be the same unit of measure.</w:t>
            </w:r>
          </w:p>
        </w:tc>
      </w:tr>
      <w:tr w:rsidR="004F44FD" w:rsidRPr="00156327" w:rsidTr="003516E9">
        <w:trPr>
          <w:trHeight w:val="288"/>
        </w:trPr>
        <w:tc>
          <w:tcPr>
            <w:tcW w:w="1306" w:type="dxa"/>
            <w:vMerge/>
          </w:tcPr>
          <w:p w:rsidR="004F44FD" w:rsidRPr="00272BB8" w:rsidRDefault="004F44FD" w:rsidP="00A14A80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4F44FD" w:rsidRPr="00272BB8" w:rsidRDefault="004F44FD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4F44FD" w:rsidRPr="00272BB8" w:rsidRDefault="004F44FD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recognize that ratios appear in a variety of different contexts:  part-to-whole, part-to-part, and rates.</w:t>
            </w:r>
          </w:p>
        </w:tc>
      </w:tr>
      <w:tr w:rsidR="004F44FD" w:rsidRPr="00156327" w:rsidTr="003516E9">
        <w:trPr>
          <w:trHeight w:val="288"/>
        </w:trPr>
        <w:tc>
          <w:tcPr>
            <w:tcW w:w="1306" w:type="dxa"/>
            <w:vMerge/>
          </w:tcPr>
          <w:p w:rsidR="004F44FD" w:rsidRPr="00272BB8" w:rsidRDefault="004F44FD" w:rsidP="00A14A80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4F44FD" w:rsidRPr="00272BB8" w:rsidRDefault="004F44FD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4F44FD" w:rsidRPr="00272BB8" w:rsidRDefault="004F44FD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generalize that all ratios relate two quantities or measures within a given situation in a multiplicative relationship.</w:t>
            </w:r>
          </w:p>
        </w:tc>
      </w:tr>
      <w:tr w:rsidR="004F44FD" w:rsidRPr="00156327" w:rsidTr="003516E9">
        <w:trPr>
          <w:trHeight w:val="288"/>
        </w:trPr>
        <w:tc>
          <w:tcPr>
            <w:tcW w:w="1306" w:type="dxa"/>
            <w:vMerge/>
          </w:tcPr>
          <w:p w:rsidR="004F44FD" w:rsidRPr="00272BB8" w:rsidRDefault="004F44FD" w:rsidP="00A14A80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4F44FD" w:rsidRPr="00272BB8" w:rsidRDefault="004F44FD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4F44FD" w:rsidRPr="00272BB8" w:rsidRDefault="004F44FD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analyze context to determine which kind of ratio is represented.</w:t>
            </w:r>
          </w:p>
        </w:tc>
      </w:tr>
      <w:tr w:rsidR="004F44FD" w:rsidRPr="00156327" w:rsidTr="003516E9">
        <w:trPr>
          <w:trHeight w:val="288"/>
        </w:trPr>
        <w:tc>
          <w:tcPr>
            <w:tcW w:w="1306" w:type="dxa"/>
            <w:vMerge w:val="restart"/>
          </w:tcPr>
          <w:p w:rsidR="004F44FD" w:rsidRPr="00272BB8" w:rsidRDefault="004F44FD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72BB8">
              <w:rPr>
                <w:rFonts w:asciiTheme="minorHAnsi" w:hAnsiTheme="minorHAnsi" w:cs="Times New Roman"/>
                <w:b/>
                <w:sz w:val="22"/>
                <w:szCs w:val="22"/>
              </w:rPr>
              <w:t>RP.2</w:t>
            </w:r>
          </w:p>
        </w:tc>
        <w:tc>
          <w:tcPr>
            <w:tcW w:w="1328" w:type="dxa"/>
          </w:tcPr>
          <w:p w:rsidR="004F44FD" w:rsidRPr="00272BB8" w:rsidRDefault="004F44FD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4F44FD" w:rsidRPr="00272BB8" w:rsidRDefault="004F44FD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identify and calculate a unit rate.</w:t>
            </w:r>
          </w:p>
        </w:tc>
      </w:tr>
      <w:tr w:rsidR="004F44FD" w:rsidRPr="00156327" w:rsidTr="003516E9">
        <w:trPr>
          <w:trHeight w:val="288"/>
        </w:trPr>
        <w:tc>
          <w:tcPr>
            <w:tcW w:w="1306" w:type="dxa"/>
            <w:vMerge/>
          </w:tcPr>
          <w:p w:rsidR="004F44FD" w:rsidRPr="00272BB8" w:rsidRDefault="004F44FD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4F44FD" w:rsidRPr="00272BB8" w:rsidRDefault="004F44FD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4F44FD" w:rsidRPr="00272BB8" w:rsidRDefault="004F44FD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use appropriate math terminology as related to rate.</w:t>
            </w:r>
          </w:p>
        </w:tc>
      </w:tr>
      <w:tr w:rsidR="004F44FD" w:rsidRPr="00156327" w:rsidTr="003516E9">
        <w:trPr>
          <w:trHeight w:val="288"/>
        </w:trPr>
        <w:tc>
          <w:tcPr>
            <w:tcW w:w="1306" w:type="dxa"/>
            <w:vMerge/>
          </w:tcPr>
          <w:p w:rsidR="004F44FD" w:rsidRPr="00272BB8" w:rsidRDefault="004F44FD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4F44FD" w:rsidRPr="00272BB8" w:rsidRDefault="004F44FD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4F44FD" w:rsidRPr="00272BB8" w:rsidRDefault="004F44FD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analyze the relationship between a ratio</w:t>
            </w:r>
            <w:r w:rsidRPr="00272BB8">
              <w:rPr>
                <w:rFonts w:asciiTheme="minorHAnsi" w:hAnsiTheme="minorHAnsi"/>
                <w:i/>
              </w:rPr>
              <w:t xml:space="preserve"> a</w:t>
            </w:r>
            <w:proofErr w:type="gramStart"/>
            <w:r w:rsidRPr="00272BB8">
              <w:rPr>
                <w:rFonts w:asciiTheme="minorHAnsi" w:hAnsiTheme="minorHAnsi"/>
                <w:i/>
              </w:rPr>
              <w:t>:b</w:t>
            </w:r>
            <w:proofErr w:type="gramEnd"/>
            <w:r w:rsidRPr="00272BB8">
              <w:rPr>
                <w:rFonts w:asciiTheme="minorHAnsi" w:hAnsiTheme="minorHAnsi"/>
              </w:rPr>
              <w:t xml:space="preserve"> and a unit rate </w:t>
            </w:r>
            <w:r w:rsidRPr="00272BB8">
              <w:rPr>
                <w:rFonts w:asciiTheme="minorHAnsi" w:hAnsiTheme="minorHAnsi"/>
                <w:i/>
                <w:vertAlign w:val="superscript"/>
              </w:rPr>
              <w:t>a</w:t>
            </w:r>
            <w:r w:rsidRPr="00272BB8">
              <w:rPr>
                <w:rFonts w:asciiTheme="minorHAnsi" w:hAnsiTheme="minorHAnsi"/>
                <w:i/>
              </w:rPr>
              <w:t>/</w:t>
            </w:r>
            <w:r w:rsidRPr="00272BB8">
              <w:rPr>
                <w:rFonts w:asciiTheme="minorHAnsi" w:hAnsiTheme="minorHAnsi"/>
                <w:i/>
                <w:vertAlign w:val="subscript"/>
              </w:rPr>
              <w:t>b</w:t>
            </w:r>
            <w:r w:rsidRPr="00272BB8">
              <w:rPr>
                <w:rFonts w:asciiTheme="minorHAnsi" w:hAnsiTheme="minorHAnsi"/>
              </w:rPr>
              <w:t xml:space="preserve"> where </w:t>
            </w:r>
            <w:r w:rsidRPr="00272BB8">
              <w:rPr>
                <w:rFonts w:asciiTheme="minorHAnsi" w:hAnsiTheme="minorHAnsi"/>
                <w:i/>
              </w:rPr>
              <w:t>b</w:t>
            </w:r>
            <w:r w:rsidRPr="00272BB8">
              <w:rPr>
                <w:rFonts w:asciiTheme="minorHAnsi" w:hAnsiTheme="minorHAnsi"/>
              </w:rPr>
              <w:t xml:space="preserve"> ≠ 0.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 w:val="restart"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72BB8">
              <w:rPr>
                <w:rFonts w:asciiTheme="minorHAnsi" w:hAnsiTheme="minorHAnsi" w:cs="Times New Roman"/>
                <w:b/>
                <w:sz w:val="22"/>
                <w:szCs w:val="22"/>
              </w:rPr>
              <w:t>RP.3</w:t>
            </w: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72BB8">
              <w:rPr>
                <w:rFonts w:asciiTheme="minorHAnsi" w:hAnsiTheme="minorHAnsi"/>
                <w:color w:val="000000"/>
              </w:rPr>
              <w:t xml:space="preserve">I can make a table of equivalent ratios using whole numbers. 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find the missing values in a table of equivalent ratios.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solve real-world and mathematical problems involving ratio and rate, e.g., by reasoning about tables of equivalent ratios, tape diagrams, double number line diagrams, or equations.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 w:val="restart"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72BB8">
              <w:rPr>
                <w:rFonts w:asciiTheme="minorHAnsi" w:hAnsiTheme="minorHAnsi" w:cs="Times New Roman"/>
                <w:b/>
                <w:sz w:val="22"/>
                <w:szCs w:val="22"/>
              </w:rPr>
              <w:t>RP.3a</w:t>
            </w: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72BB8">
              <w:rPr>
                <w:rFonts w:asciiTheme="minorHAnsi" w:hAnsiTheme="minorHAnsi"/>
                <w:color w:val="000000"/>
              </w:rPr>
              <w:t xml:space="preserve">I can make a table of equivalent ratios using whole numbers. 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find the missing values in a table of equivalent ratios.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plot pairs of values that represent equivalent ratios on the coordinate plane.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use tables to compare proportional quantities.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 w:val="restart"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72BB8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RP.3b</w:t>
            </w: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72BB8">
              <w:rPr>
                <w:rFonts w:asciiTheme="minorHAnsi" w:hAnsiTheme="minorHAnsi"/>
                <w:color w:val="000000"/>
              </w:rPr>
              <w:t xml:space="preserve">I can apply the concept of unit rate to solve real-world problems involving unit pricing. 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pStyle w:val="Default"/>
              <w:rPr>
                <w:rFonts w:asciiTheme="minorHAnsi" w:hAnsiTheme="minorHAnsi"/>
              </w:rPr>
            </w:pPr>
            <w:r w:rsidRPr="00272BB8">
              <w:rPr>
                <w:rFonts w:asciiTheme="minorHAnsi" w:hAnsiTheme="minorHAnsi"/>
              </w:rPr>
              <w:t>I can apply the concept of unit rate to solve real-world problems involving constant speed.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 w:val="restart"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72BB8">
              <w:rPr>
                <w:rFonts w:asciiTheme="minorHAnsi" w:hAnsiTheme="minorHAnsi" w:cs="Times New Roman"/>
                <w:b/>
                <w:sz w:val="22"/>
                <w:szCs w:val="22"/>
              </w:rPr>
              <w:t>RP.3c</w:t>
            </w: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72BB8">
              <w:rPr>
                <w:rFonts w:asciiTheme="minorHAnsi" w:hAnsiTheme="minorHAnsi"/>
                <w:color w:val="000000"/>
              </w:rPr>
              <w:t xml:space="preserve">I can demonstrate how a percent is a ratio of a number to 100. 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find a percent of a number as a rate per 100.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FA4F30">
            <w:pPr>
              <w:pStyle w:val="Default"/>
              <w:rPr>
                <w:rFonts w:asciiTheme="minorHAnsi" w:hAnsiTheme="minorHAnsi"/>
                <w:bCs/>
              </w:rPr>
            </w:pPr>
            <w:r w:rsidRPr="00272BB8">
              <w:rPr>
                <w:rFonts w:asciiTheme="minorHAnsi" w:hAnsiTheme="minorHAnsi"/>
              </w:rPr>
              <w:t>I can solve real-world problems involving finding the percent</w:t>
            </w:r>
            <w:r w:rsidR="00FA4F30" w:rsidRPr="00272BB8">
              <w:rPr>
                <w:rFonts w:asciiTheme="minorHAnsi" w:hAnsiTheme="minorHAnsi"/>
              </w:rPr>
              <w:t xml:space="preserve"> of a quantity, given a percent, find the whole given a part and the part given a whole.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 w:val="restart"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72BB8">
              <w:rPr>
                <w:rFonts w:asciiTheme="minorHAnsi" w:hAnsiTheme="minorHAnsi" w:cs="Times New Roman"/>
                <w:b/>
                <w:sz w:val="22"/>
                <w:szCs w:val="22"/>
              </w:rPr>
              <w:t>RP.3d</w:t>
            </w: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72BB8">
              <w:rPr>
                <w:rFonts w:asciiTheme="minorHAnsi" w:hAnsiTheme="minorHAnsi"/>
                <w:color w:val="000000"/>
              </w:rPr>
              <w:t xml:space="preserve">I can apply ratio reasoning to convert measurement units in real-world and mathematical problems. </w:t>
            </w:r>
          </w:p>
        </w:tc>
      </w:tr>
      <w:tr w:rsidR="000650F4" w:rsidRPr="00156327" w:rsidTr="003516E9">
        <w:trPr>
          <w:trHeight w:val="288"/>
        </w:trPr>
        <w:tc>
          <w:tcPr>
            <w:tcW w:w="1306" w:type="dxa"/>
            <w:vMerge/>
          </w:tcPr>
          <w:p w:rsidR="000650F4" w:rsidRPr="00272BB8" w:rsidRDefault="000650F4" w:rsidP="0000460F">
            <w:pPr>
              <w:spacing w:before="120" w:after="1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0650F4" w:rsidRPr="00272BB8" w:rsidRDefault="000650F4" w:rsidP="00A14A80">
            <w:pPr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64" w:type="dxa"/>
          </w:tcPr>
          <w:p w:rsidR="000650F4" w:rsidRPr="00272BB8" w:rsidRDefault="000650F4" w:rsidP="00BA591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72BB8">
              <w:rPr>
                <w:rFonts w:asciiTheme="minorHAnsi" w:hAnsiTheme="minorHAnsi"/>
                <w:color w:val="000000"/>
              </w:rPr>
              <w:t xml:space="preserve">I can apply ratio reasoning to convert measurement units by multiplying or dividing in real-world and mathematical problems. </w:t>
            </w:r>
          </w:p>
        </w:tc>
      </w:tr>
    </w:tbl>
    <w:p w:rsidR="00B901BC" w:rsidRDefault="00B901BC"/>
    <w:sectPr w:rsidR="00B901BC" w:rsidSect="00A14A80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0460F"/>
    <w:rsid w:val="000642B3"/>
    <w:rsid w:val="00064E2D"/>
    <w:rsid w:val="000650F4"/>
    <w:rsid w:val="00156327"/>
    <w:rsid w:val="001D0D97"/>
    <w:rsid w:val="00272BB8"/>
    <w:rsid w:val="003516E9"/>
    <w:rsid w:val="00356592"/>
    <w:rsid w:val="004F44FD"/>
    <w:rsid w:val="005D3746"/>
    <w:rsid w:val="005D4202"/>
    <w:rsid w:val="008A60FF"/>
    <w:rsid w:val="00A14A80"/>
    <w:rsid w:val="00B901BC"/>
    <w:rsid w:val="00BD183C"/>
    <w:rsid w:val="00EB0B76"/>
    <w:rsid w:val="00ED53B7"/>
    <w:rsid w:val="00F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A37E5-D544-4F31-ACE5-ABED8E17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3B7"/>
    <w:pPr>
      <w:autoSpaceDE w:val="0"/>
      <w:autoSpaceDN w:val="0"/>
      <w:adjustRightInd w:val="0"/>
    </w:pPr>
    <w:rPr>
      <w:rFonts w:eastAsia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Carla Walker</cp:lastModifiedBy>
  <cp:revision>2</cp:revision>
  <dcterms:created xsi:type="dcterms:W3CDTF">2018-09-06T02:39:00Z</dcterms:created>
  <dcterms:modified xsi:type="dcterms:W3CDTF">2018-09-06T02:39:00Z</dcterms:modified>
</cp:coreProperties>
</file>